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财经法新课题与新趋势</w:t>
      </w:r>
    </w:p>
    <w:p>
      <w:r>
        <w:rPr>
          <w:rFonts w:ascii="宋体" w:hAnsi="宋体" w:eastAsia="宋体"/>
          <w:sz w:val="24"/>
        </w:rPr>
        <w:t>方嘉麟等著；国立政治大学法学院财经中心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财经法新课题与新趋势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方嘉麟等著；国立政治大学法学院财经中心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本书出售、求购地址：https://www.jiaokey.com/book/detail/12994167.html</w:t>
      </w:r>
    </w:p>
    <w:p>
      <w:r>
        <w:t>更多相关图书推荐：https://www.jiaokey.com</w:t>
      </w:r>
    </w:p>
    <w:p>
      <w:r>
        <w:t>方嘉麟等著；国立政治大学法学院财经中心 其他作品：https://www.jiaokey.com/tag/方嘉麟等著；国立政治大学法学院财经中心.html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关键词搜索：https://www.jiaokey.com/tag/财经法新课题与新趋势.html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