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后危机时代的金融监管研究</w:t>
      </w:r>
    </w:p>
    <w:p>
      <w:r>
        <w:rPr>
          <w:rFonts w:ascii="宋体" w:hAnsi="宋体" w:eastAsia="宋体"/>
          <w:sz w:val="24"/>
        </w:rPr>
        <w:t>祁敬宇，王刚著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后危机时代的金融监管研究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祁敬宇，王刚著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本书出售、求购地址：https://www.jiaokey.com/book/detail/12991576.html</w:t>
      </w:r>
    </w:p>
    <w:p>
      <w:r>
        <w:t>更多相关图书推荐：https://www.jiaokey.com</w:t>
      </w:r>
    </w:p>
    <w:p>
      <w:r>
        <w:t>祁敬宇，王刚著 其他作品：https://www.jiaokey.com/tag/祁敬宇，王刚著.html</w:t>
      </w:r>
    </w:p>
    <w:p>
      <w:r>
        <w:t>首都经济贸易大学出版社 出版图书：https://www.jiaokey.com/tag/首都经济贸易大学出版社.html</w:t>
      </w:r>
    </w:p>
    <w:p>
      <w:r>
        <w:t>关键词搜索：https://www.jiaokey.com/tag/后危机时代的金融监管研究.html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