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租税与财产移转规划  增修订2版</w:t>
      </w:r>
    </w:p>
    <w:p>
      <w:r>
        <w:rPr>
          <w:rFonts w:ascii="宋体" w:hAnsi="宋体" w:eastAsia="宋体"/>
          <w:sz w:val="24"/>
        </w:rPr>
        <w:t>周吴添发行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租税与财产移转规划  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周吴添发行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财团法人台北金融研究发展基金会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本书出售、求购地址：https://www.jiaokey.com/book/detail/12985089.html</w:t>
      </w:r>
    </w:p>
    <w:p>
      <w:r>
        <w:t>更多相关图书推荐：https://www.jiaokey.com</w:t>
      </w:r>
    </w:p>
    <w:p>
      <w:r>
        <w:t>周吴添发行 其他作品：https://www.jiaokey.com/tag/周吴添发行.html</w:t>
      </w:r>
    </w:p>
    <w:p>
      <w:r>
        <w:t>财团法人台北金融研究发展基金会 出版图书：https://www.jiaokey.com/tag/财团法人台北金融研究发展基金会.html</w:t>
      </w:r>
    </w:p>
    <w:p>
      <w:r>
        <w:t>关键词搜索：https://www.jiaokey.com/tag/租税与财产移转规划  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