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认识佛陀教育  佛法非宗教非哲学</w:t>
      </w:r>
    </w:p>
    <w:p>
      <w:r>
        <w:rPr>
          <w:rFonts w:ascii="宋体" w:hAnsi="宋体" w:eastAsia="宋体"/>
          <w:sz w:val="24"/>
        </w:rPr>
        <w:t>净空法律讲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认识佛陀教育  佛法非宗教非哲学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净空法律讲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福峰彩色印刷有限公司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本书出售、求购地址：https://www.jiaokey.com/book/detail/12981261.html</w:t>
      </w:r>
    </w:p>
    <w:p>
      <w:r>
        <w:t>更多相关图书推荐：https://www.jiaokey.com</w:t>
      </w:r>
    </w:p>
    <w:p>
      <w:r>
        <w:t>净空法律讲 其他作品：https://www.jiaokey.com/tag/净空法律讲.html</w:t>
      </w:r>
    </w:p>
    <w:p>
      <w:r>
        <w:t>福峰彩色印刷有限公司 出版图书：https://www.jiaokey.com/tag/福峰彩色印刷有限公司.html</w:t>
      </w:r>
    </w:p>
    <w:p>
      <w:r>
        <w:t>关键词搜索：https://www.jiaokey.com/tag/认识佛陀教育  佛法非宗教非哲学.html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