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账款催收与保全</w:t>
      </w:r>
    </w:p>
    <w:p>
      <w:r>
        <w:rPr>
          <w:rFonts w:ascii="宋体" w:hAnsi="宋体" w:eastAsia="宋体"/>
          <w:sz w:val="24"/>
        </w:rPr>
        <w:t>苏孙波著；法学硕士李永然律师策划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账款催收与保全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苏孙波著；法学硕士李永然律师策划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本书出售、求购地址：https://www.jiaokey.com/book/detail/12978763.html</w:t>
      </w:r>
    </w:p>
    <w:p>
      <w:r>
        <w:t>更多相关图书推荐：https://www.jiaokey.com</w:t>
      </w:r>
    </w:p>
    <w:p>
      <w:r>
        <w:t>苏孙波著；法学硕士李永然律师策划 其他作品：https://www.jiaokey.com/tag/苏孙波著；法学硕士李永然律师策划.html</w:t>
      </w:r>
    </w:p>
    <w:p>
      <w:r>
        <w:t>书泉出版社 出版图书：https://www.jiaokey.com/tag/书泉出版社.html</w:t>
      </w:r>
    </w:p>
    <w:p>
      <w:r>
        <w:t>关键词搜索：https://www.jiaokey.com/tag/账款催收与保全.html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