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中国妇女儿童发展政策及主要进展研究（2001-2006）</w:t>
      </w:r>
    </w:p>
    <w:p>
      <w:r>
        <w:rPr>
          <w:rFonts w:ascii="宋体" w:hAnsi="宋体" w:eastAsia="宋体"/>
          <w:sz w:val="24"/>
        </w:rPr>
        <w:t>雷海潮，刘新亮，李立秋，王晶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中国妇女儿童发展政策及主要进展研究（2001-2006）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雷海潮，刘新亮，李立秋，王晶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本书出售、求购地址：https://www.jiaokey.com/book/detail/12969836.html</w:t>
      </w:r>
    </w:p>
    <w:p>
      <w:r>
        <w:t>更多相关图书推荐：https://www.jiaokey.com</w:t>
      </w:r>
    </w:p>
    <w:p>
      <w:r>
        <w:t>雷海潮，刘新亮，李立秋，王晶 其他作品：https://www.jiaokey.com/tag/雷海潮，刘新亮，李立秋，王晶.html</w:t>
      </w:r>
    </w:p>
    <w:p>
      <w:r>
        <w:t>关键词搜索：https://www.jiaokey.com/tag/中国妇女儿童发展政策及主要进展研究（2001-2006）.html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