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赢在竞合  快速脉动下的产业协同策略</w:t>
      </w:r>
    </w:p>
    <w:p>
      <w:r>
        <w:rPr>
          <w:rFonts w:ascii="宋体" w:hAnsi="宋体" w:eastAsia="宋体"/>
          <w:sz w:val="24"/>
        </w:rPr>
        <w:t>薛文蔚，徐世昌著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赢在竞合  快速脉动下的产业协同策略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薛文蔚，徐世昌著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本书出售、求购地址：https://www.jiaokey.com/book/detail/12963765.html</w:t>
      </w:r>
    </w:p>
    <w:p>
      <w:r>
        <w:t>更多相关图书推荐：https://www.jiaokey.com</w:t>
      </w:r>
    </w:p>
    <w:p>
      <w:r>
        <w:t>薛文蔚，徐世昌著 其他作品：https://www.jiaokey.com/tag/薛文蔚，徐世昌著.html</w:t>
      </w:r>
    </w:p>
    <w:p>
      <w:r>
        <w:t>商周出版社 出版图书：https://www.jiaokey.com/tag/商周出版社.html</w:t>
      </w:r>
    </w:p>
    <w:p>
      <w:r>
        <w:t>关键词搜索：https://www.jiaokey.com/tag/赢在竞合  快速脉动下的产业协同策略.html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