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中国历代诗话选（二）</w:t>
      </w:r>
    </w:p>
    <w:p>
      <w:r>
        <w:rPr>
          <w:rFonts w:ascii="宋体" w:hAnsi="宋体" w:eastAsia="宋体"/>
          <w:sz w:val="24"/>
        </w:rPr>
        <w:t>王大鹏，张宝坤，田树生，诸天寅，王德和，严昭柱编选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中国历代诗话选（二）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王大鹏，张宝坤，田树生，诸天寅，王德和，严昭柱编选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本书出售、求购地址：https://www.jiaokey.com/book/detail/12962049.html</w:t>
      </w:r>
    </w:p>
    <w:p>
      <w:r>
        <w:t>更多相关图书推荐：https://www.jiaokey.com</w:t>
      </w:r>
    </w:p>
    <w:p>
      <w:r>
        <w:t>王大鹏，张宝坤，田树生，诸天寅，王德和，严昭柱编选 其他作品：https://www.jiaokey.com/tag/王大鹏，张宝坤，田树生，诸天寅，王德和，严昭柱编选.html</w:t>
      </w:r>
    </w:p>
    <w:p>
      <w:r>
        <w:t>岳麓书社 出版图书：https://www.jiaokey.com/tag/岳麓书社.html</w:t>
      </w:r>
    </w:p>
    <w:p>
      <w:r>
        <w:t>关键词搜索：https://www.jiaokey.com/tag/中国历代诗话选（二）.html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