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美国商业秘密判例  1  公共政策、构成要件和加害行为</w:t>
      </w:r>
    </w:p>
    <w:p>
      <w:r>
        <w:rPr>
          <w:rFonts w:ascii="宋体" w:hAnsi="宋体" w:eastAsia="宋体"/>
          <w:sz w:val="24"/>
        </w:rPr>
        <w:t>黄武双等译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美国商业秘密判例  1  公共政策、构成要件和加害行为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黄武双等译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本书出售、求购地址：https://www.jiaokey.com/book/detail/12958904.html</w:t>
      </w:r>
    </w:p>
    <w:p>
      <w:r>
        <w:t>更多相关图书推荐：https://www.jiaokey.com</w:t>
      </w:r>
    </w:p>
    <w:p>
      <w:r>
        <w:t>黄武双等译 其他作品：https://www.jiaokey.com/tag/黄武双等译.html</w:t>
      </w:r>
    </w:p>
    <w:p>
      <w:r>
        <w:t>法律出版社 出版图书：https://www.jiaokey.com/tag/法律出版社.html</w:t>
      </w:r>
    </w:p>
    <w:p>
      <w:r>
        <w:t>关键词搜索：https://www.jiaokey.com/tag/美国商业秘密判例  1  公共政策、构成要件和加害行为.html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