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  实训篇</w:t>
      </w:r>
    </w:p>
    <w:p>
      <w:r>
        <w:rPr>
          <w:rFonts w:ascii="宋体" w:hAnsi="宋体" w:eastAsia="宋体"/>
          <w:sz w:val="24"/>
        </w:rPr>
        <w:t>新世纪高等职业教育教材编审委员会组编；穆红涛主编；陈英，王智慧，蒋高飞，姚旭副主编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  实训篇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新世纪高等职业教育教材编审委员会组编；穆红涛主编；陈英，王智慧，蒋高飞，姚旭副主编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本书出售、求购地址：https://www.jiaokey.com/book/detail/12954183.html</w:t>
      </w:r>
    </w:p>
    <w:p>
      <w:r>
        <w:t>更多相关图书推荐：https://www.jiaokey.com</w:t>
      </w:r>
    </w:p>
    <w:p>
      <w:r>
        <w:t>新世纪高等职业教育教材编审委员会组编；穆红涛主编；陈英，王智慧，蒋高飞，姚旭副主编 其他作品：https://www.jiaokey.com/tag/新世纪高等职业教育教材编审委员会组编；穆红涛主编；陈英，王智慧，蒋高飞，姚旭副主编.html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关键词搜索：https://www.jiaokey.com/tag/Visual Basic程序设计  实训篇.html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