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电机与电器故障详论  征象、原因、后果、处理、预防</w:t>
      </w:r>
    </w:p>
    <w:p>
      <w:r>
        <w:rPr>
          <w:rFonts w:ascii="宋体" w:hAnsi="宋体" w:eastAsia="宋体"/>
          <w:sz w:val="24"/>
        </w:rPr>
        <w:t>丁士钧编著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电机与电器故障详论  征象、原因、后果、处理、预防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本书出售、求购地址：https://www.jiaokey.com/book/detail/12954155.html</w:t>
      </w:r>
    </w:p>
    <w:p>
      <w:r>
        <w:t>更多相关图书推荐：https://www.jiaokey.com</w:t>
      </w:r>
    </w:p>
    <w:p>
      <w:r>
        <w:t>丁士钧编著 其他作品：https://www.jiaokey.com/tag/丁士钧编著.html</w:t>
      </w:r>
    </w:p>
    <w:p>
      <w:r>
        <w:t>大东书局 出版图书：https://www.jiaokey.com/tag/大东书局.html</w:t>
      </w:r>
    </w:p>
    <w:p>
      <w:r>
        <w:t>关键词搜索：https://www.jiaokey.com/tag/电机与电器故障详论  征象、原因、后果、处理、预防.html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