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建筑与筑路机械</w:t>
      </w:r>
    </w:p>
    <w:p>
      <w:r>
        <w:rPr>
          <w:rFonts w:ascii="宋体" w:hAnsi="宋体" w:eastAsia="宋体"/>
          <w:sz w:val="24"/>
        </w:rPr>
        <w:t>（苏）巴拉叔克，В.Л.，（苏）尤金里索，Н.А.著；袁子仁等译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建筑与筑路机械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（苏）巴拉叔克，В.Л.，（苏）尤金里索，Н.А.著；袁子仁等译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本书出售、求购地址：https://www.jiaokey.com/book/detail/12953972.html</w:t>
      </w:r>
    </w:p>
    <w:p>
      <w:r>
        <w:t>更多相关图书推荐：https://www.jiaokey.com</w:t>
      </w:r>
    </w:p>
    <w:p>
      <w:r>
        <w:t>（苏）巴拉叔克，В.Л.，（苏）尤金里索，Н.А.著；袁子仁等译 其他作品：https://www.jiaokey.com/tag/（苏）巴拉叔克，В.Л.，（苏）尤金里索，Н.А.著；袁子仁等译.html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关键词搜索：https://www.jiaokey.com/tag/建筑与筑路机械.html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