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理解困境  课程改革实施行为的新制度主义分析</w:t>
      </w:r>
    </w:p>
    <w:p>
      <w:r>
        <w:rPr>
          <w:rFonts w:ascii="宋体" w:hAnsi="宋体" w:eastAsia="宋体"/>
          <w:sz w:val="24"/>
        </w:rPr>
        <w:t>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理解困境  课程改革实施行为的新制度主义分析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本书出售、求购地址：https://www.jiaokey.com/book/detail/12952790.html</w:t>
      </w:r>
    </w:p>
    <w:p>
      <w:r>
        <w:t>更多相关图书推荐：https://www.jiaokey.com</w:t>
      </w:r>
    </w:p>
    <w:p>
      <w:r>
        <w:t>柯政著 其他作品：https://www.jiaokey.com/tag/柯政著.html</w:t>
      </w:r>
    </w:p>
    <w:p>
      <w:r>
        <w:t>关键词搜索：https://www.jiaokey.com/tag/理解困境  课程改革实施行为的新制度主义分析.html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