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保证电子政府安全运行的基本方法</w:t>
      </w:r>
    </w:p>
    <w:p>
      <w:r>
        <w:rPr>
          <w:rFonts w:ascii="宋体" w:hAnsi="宋体" w:eastAsia="宋体"/>
          <w:sz w:val="24"/>
        </w:rPr>
        <w:t>焦宝文等主编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保证电子政府安全运行的基本方法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焦宝文等主编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本书出售、求购地址：https://www.jiaokey.com/book/detail/12952230.html</w:t>
      </w:r>
    </w:p>
    <w:p>
      <w:r>
        <w:t>更多相关图书推荐：https://www.jiaokey.com</w:t>
      </w:r>
    </w:p>
    <w:p>
      <w:r>
        <w:t>焦宝文等主编 其他作品：https://www.jiaokey.com/tag/焦宝文等主编.html</w:t>
      </w:r>
    </w:p>
    <w:p>
      <w:r>
        <w:t>关键词搜索：https://www.jiaokey.com/tag/保证电子政府安全运行的基本方法.html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