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印度的奇特崛起  透视一个印度  两个世界的极端差异</w:t>
      </w:r>
    </w:p>
    <w:p>
      <w:r>
        <w:rPr>
          <w:rFonts w:ascii="宋体" w:hAnsi="宋体" w:eastAsia="宋体"/>
          <w:sz w:val="24"/>
        </w:rPr>
        <w:t>艾德华·卢斯著；吴湘湄译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印度的奇特崛起  透视一个印度  两个世界的极端差异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艾德华·卢斯著；吴湘湄译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本书出售、求购地址：https://www.jiaokey.com/book/detail/12951311.html</w:t>
      </w:r>
    </w:p>
    <w:p>
      <w:r>
        <w:t>更多相关图书推荐：https://www.jiaokey.com</w:t>
      </w:r>
    </w:p>
    <w:p>
      <w:r>
        <w:t>艾德华·卢斯著；吴湘湄译 其他作品：https://www.jiaokey.com/tag/艾德华·卢斯著；吴湘湄译.html</w:t>
      </w:r>
    </w:p>
    <w:p>
      <w:r>
        <w:t>晨星出版有限公司 出版图书：https://www.jiaokey.com/tag/晨星出版有限公司.html</w:t>
      </w:r>
    </w:p>
    <w:p>
      <w:r>
        <w:t>关键词搜索：https://www.jiaokey.com/tag/印度的奇特崛起  透视一个印度  两个世界的极端差异.html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