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金融新企划  银行、证券市场、保险公司的CI战略</w:t>
      </w:r>
    </w:p>
    <w:p>
      <w:r>
        <w:rPr>
          <w:rFonts w:ascii="宋体" w:hAnsi="宋体" w:eastAsia="宋体"/>
          <w:sz w:val="24"/>
        </w:rPr>
        <w:t>闵伟东编著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金融新企划  银行、证券市场、保险公司的CI战略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闵伟东编著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本书出售、求购地址：https://www.jiaokey.com/book/detail/12950581.html</w:t>
      </w:r>
    </w:p>
    <w:p>
      <w:r>
        <w:t>更多相关图书推荐：https://www.jiaokey.com</w:t>
      </w:r>
    </w:p>
    <w:p>
      <w:r>
        <w:t>闵伟东编著 其他作品：https://www.jiaokey.com/tag/闵伟东编著.html</w:t>
      </w:r>
    </w:p>
    <w:p>
      <w:r>
        <w:t>中国经济出版社 出版图书：https://www.jiaokey.com/tag/中国经济出版社.html</w:t>
      </w:r>
    </w:p>
    <w:p>
      <w:r>
        <w:t>关键词搜索：https://www.jiaokey.com/tag/金融新企划  银行、证券市场、保险公司的CI战略.html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