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劳资关系  平衡效率与公平</w:t>
      </w:r>
    </w:p>
    <w:p>
      <w:r>
        <w:rPr>
          <w:rFonts w:ascii="宋体" w:hAnsi="宋体" w:eastAsia="宋体"/>
          <w:sz w:val="24"/>
        </w:rPr>
        <w:t>卫民，许继峰著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劳资关系  平衡效率与公平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卫民，许继峰著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前程文化事业有限公司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本书出售、求购地址：https://www.jiaokey.com/book/detail/12948644.html</w:t>
      </w:r>
    </w:p>
    <w:p>
      <w:r>
        <w:t>更多相关图书推荐：https://www.jiaokey.com</w:t>
      </w:r>
    </w:p>
    <w:p>
      <w:r>
        <w:t>卫民，许继峰著 其他作品：https://www.jiaokey.com/tag/卫民，许继峰著.html</w:t>
      </w:r>
    </w:p>
    <w:p>
      <w:r>
        <w:t>前程文化事业有限公司 出版图书：https://www.jiaokey.com/tag/前程文化事业有限公司.html</w:t>
      </w:r>
    </w:p>
    <w:p>
      <w:r>
        <w:t>关键词搜索：https://www.jiaokey.com/tag/劳资关系  平衡效率与公平.html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