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消除不平等  治理缘何重要</w:t>
      </w:r>
    </w:p>
    <w:p>
      <w:r>
        <w:rPr>
          <w:rFonts w:ascii="宋体" w:hAnsi="宋体" w:eastAsia="宋体"/>
          <w:sz w:val="24"/>
        </w:rPr>
        <w:t>全民教育全球监测报告小组编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消除不平等  治理缘何重要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全民教育全球监测报告小组编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本书出售、求购地址：https://www.jiaokey.com/book/detail/12946198.html</w:t>
      </w:r>
    </w:p>
    <w:p>
      <w:r>
        <w:t>更多相关图书推荐：https://www.jiaokey.com</w:t>
      </w:r>
    </w:p>
    <w:p>
      <w:r>
        <w:t>全民教育全球监测报告小组编 其他作品：https://www.jiaokey.com/tag/全民教育全球监测报告小组编.html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关键词搜索：https://www.jiaokey.com/tag/消除不平等  治理缘何重要.html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