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最新经营管理法及成功实例  个人暨部门别利益责任制经营法</w:t>
      </w:r>
    </w:p>
    <w:p>
      <w:r>
        <w:rPr>
          <w:rFonts w:ascii="宋体" w:hAnsi="宋体" w:eastAsia="宋体"/>
          <w:sz w:val="24"/>
        </w:rPr>
        <w:t>竹山正宪著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最新经营管理法及成功实例  个人暨部门别利益责任制经营法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竹山正宪著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本书出售、求购地址：https://www.jiaokey.com/book/detail/12942190.html</w:t>
      </w:r>
    </w:p>
    <w:p>
      <w:r>
        <w:t>更多相关图书推荐：https://www.jiaokey.com</w:t>
      </w:r>
    </w:p>
    <w:p>
      <w:r>
        <w:t>竹山正宪著 其他作品：https://www.jiaokey.com/tag/竹山正宪著.html</w:t>
      </w:r>
    </w:p>
    <w:p>
      <w:r>
        <w:t>现代企业经营管理公司附设出版部 出版图书：https://www.jiaokey.com/tag/现代企业经营管理公司附设出版部.html</w:t>
      </w:r>
    </w:p>
    <w:p>
      <w:r>
        <w:t>关键词搜索：https://www.jiaokey.com/tag/最新经营管理法及成功实例  个人暨部门别利益责任制经营法.html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