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  资讯时代的策略管理工具</w:t>
      </w:r>
    </w:p>
    <w:p>
      <w:r>
        <w:rPr>
          <w:rFonts w:ascii="宋体" w:hAnsi="宋体" w:eastAsia="宋体"/>
          <w:sz w:val="24"/>
        </w:rPr>
        <w:t>罗伯·柯普朗，大卫·诺顿著；朱道凯译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  资讯时代的策略管理工具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罗伯·柯普朗，大卫·诺顿著；朱道凯译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本书出售、求购地址：https://www.jiaokey.com/book/detail/12940341.html</w:t>
      </w:r>
    </w:p>
    <w:p>
      <w:r>
        <w:t>更多相关图书推荐：https://www.jiaokey.com</w:t>
      </w:r>
    </w:p>
    <w:p>
      <w:r>
        <w:t>罗伯·柯普朗，大卫·诺顿著；朱道凯译 其他作品：https://www.jiaokey.com/tag/罗伯·柯普朗，大卫·诺顿著；朱道凯译.html</w:t>
      </w:r>
    </w:p>
    <w:p>
      <w:r>
        <w:t>脸谱文化事业股份有限公司 出版图书：https://www.jiaokey.com/tag/脸谱文化事业股份有限公司.html</w:t>
      </w:r>
    </w:p>
    <w:p>
      <w:r>
        <w:t>关键词搜索：https://www.jiaokey.com/tag/平衡计分卡  资讯时代的策略管理工具.html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