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秃鹰的晚餐  金融并购的社会后果</w:t>
      </w:r>
    </w:p>
    <w:p>
      <w:r>
        <w:rPr>
          <w:rFonts w:ascii="宋体" w:hAnsi="宋体" w:eastAsia="宋体"/>
          <w:sz w:val="24"/>
        </w:rPr>
        <w:t>夏传位著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秃鹰的晚餐  金融并购的社会后果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夏传位著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中华民国银行员工会全国联合会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本书出售、求购地址：https://www.jiaokey.com/book/detail/12940255.html</w:t>
      </w:r>
    </w:p>
    <w:p>
      <w:r>
        <w:t>更多相关图书推荐：https://www.jiaokey.com</w:t>
      </w:r>
    </w:p>
    <w:p>
      <w:r>
        <w:t>夏传位著 其他作品：https://www.jiaokey.com/tag/夏传位著.html</w:t>
      </w:r>
    </w:p>
    <w:p>
      <w:r>
        <w:t>中华民国银行员工会全国联合会 出版图书：https://www.jiaokey.com/tag/中华民国银行员工会全国联合会.html</w:t>
      </w:r>
    </w:p>
    <w:p>
      <w:r>
        <w:t>关键词搜索：https://www.jiaokey.com/tag/秃鹰的晚餐  金融并购的社会后果.html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