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关于实行党风廉政建设责任制的规定学习问答</w:t>
      </w:r>
    </w:p>
    <w:p>
      <w:r>
        <w:rPr>
          <w:rFonts w:ascii="宋体" w:hAnsi="宋体" w:eastAsia="宋体"/>
          <w:sz w:val="24"/>
        </w:rPr>
        <w:t>《〈关于实行党风廉政建设责任制的规定〉学习问答》编写组编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关于实行党风廉政建设责任制的规定学习问答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《〈关于实行党风廉政建设责任制的规定〉学习问答》编写组编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本书出售、求购地址：https://www.jiaokey.com/book/detail/12938622.html</w:t>
      </w:r>
    </w:p>
    <w:p>
      <w:r>
        <w:t>更多相关图书推荐：https://www.jiaokey.com</w:t>
      </w:r>
    </w:p>
    <w:p>
      <w:r>
        <w:t>《〈关于实行党风廉政建设责任制的规定〉学习问答》编写组编 其他作品：https://www.jiaokey.com/tag/《〈关于实行党风廉政建设责任制的规定〉学习问答》编写组编.html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关键词搜索：https://www.jiaokey.com/tag/关于实行党风廉政建设责任制的规定学习问答.html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