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成本与效应  以整合性成本制度提升获利与绩效</w:t>
      </w:r>
    </w:p>
    <w:p>
      <w:r>
        <w:rPr>
          <w:rFonts w:ascii="宋体" w:hAnsi="宋体" w:eastAsia="宋体"/>
          <w:sz w:val="24"/>
        </w:rPr>
        <w:t>Robert S.Kaplan，Robin Cooper著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成本与效应  以整合性成本制度提升获利与绩效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S.Kaplan，Robin Cooper著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本书出售、求购地址：https://www.jiaokey.com/book/detail/12938128.html</w:t>
      </w:r>
    </w:p>
    <w:p>
      <w:r>
        <w:t>更多相关图书推荐：https://www.jiaokey.com</w:t>
      </w:r>
    </w:p>
    <w:p>
      <w:r>
        <w:t>Robert S.Kaplan，Robin Cooper著 其他作品：https://www.jiaokey.com/tag/Robert S.Kaplan，Robin Cooper著.html</w:t>
      </w:r>
    </w:p>
    <w:p>
      <w:r>
        <w:t>脸谱 出版图书：https://www.jiaokey.com/tag/脸谱.html</w:t>
      </w:r>
    </w:p>
    <w:p>
      <w:r>
        <w:t>关键词搜索：https://www.jiaokey.com/tag/成本与效应  以整合性成本制度提升获利与绩效.html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