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网路消费行为与商机模式研究</w:t>
      </w:r>
    </w:p>
    <w:p>
      <w:r>
        <w:rPr>
          <w:rFonts w:ascii="宋体" w:hAnsi="宋体" w:eastAsia="宋体"/>
          <w:sz w:val="24"/>
        </w:rPr>
        <w:t>周文卿等著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网路消费行为与商机模式研究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财团法人资讯工业策进会；资讯市场情报中心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本书出售、求购地址：https://www.jiaokey.com/book/detail/12935537.html</w:t>
      </w:r>
    </w:p>
    <w:p>
      <w:r>
        <w:t>更多相关图书推荐：https://www.jiaokey.com</w:t>
      </w:r>
    </w:p>
    <w:p>
      <w:r>
        <w:t>周文卿等著 其他作品：https://www.jiaokey.com/tag/周文卿等著.html</w:t>
      </w:r>
    </w:p>
    <w:p>
      <w:r>
        <w:t>财团法人资讯工业策进会；资讯市场情报中心 出版图书：https://www.jiaokey.com/tag/财团法人资讯工业策进会；资讯市场情报中心.html</w:t>
      </w:r>
    </w:p>
    <w:p>
      <w:r>
        <w:t>关键词搜索：https://www.jiaokey.com/tag/网路消费行为与商机模式研究.html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