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内河航道</w:t>
      </w:r>
    </w:p>
    <w:p>
      <w:r>
        <w:rPr>
          <w:rFonts w:ascii="宋体" w:hAnsi="宋体" w:eastAsia="宋体"/>
          <w:sz w:val="24"/>
        </w:rPr>
        <w:t>K.B.格里沙宁，B.B.捷格恰辽夫，B.M.谢列兹涅夫著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内河航道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K.B.格里沙宁，B.B.捷格恰辽夫，B.M.谢列兹涅夫著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本书出售、求购地址：https://www.jiaokey.com/book/detail/12934306.html</w:t>
      </w:r>
    </w:p>
    <w:p>
      <w:r>
        <w:t>更多相关图书推荐：https://www.jiaokey.com</w:t>
      </w:r>
    </w:p>
    <w:p>
      <w:r>
        <w:t>K.B.格里沙宁，B.B.捷格恰辽夫，B.M.谢列兹涅夫著 其他作品：https://www.jiaokey.com/tag/K.B.格里沙宁，B.B.捷格恰辽夫，B.M.谢列兹涅夫著.html</w:t>
      </w:r>
    </w:p>
    <w:p>
      <w:r>
        <w:t>关键词搜索：https://www.jiaokey.com/tag/内河航道.html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