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编译原理及编译程序构造</w:t>
      </w:r>
    </w:p>
    <w:p>
      <w:r>
        <w:rPr>
          <w:rFonts w:ascii="宋体" w:hAnsi="宋体" w:eastAsia="宋体"/>
          <w:sz w:val="24"/>
        </w:rPr>
        <w:t>张莉，杨海燕，史晓华，金茂忠，高仲仪编著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编译原理及编译程序构造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张莉，杨海燕，史晓华，金茂忠，高仲仪编著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本书出售、求购地址：https://www.jiaokey.com/book/detail/12932995.html</w:t>
      </w:r>
    </w:p>
    <w:p>
      <w:r>
        <w:t>更多相关图书推荐：https://www.jiaokey.com</w:t>
      </w:r>
    </w:p>
    <w:p>
      <w:r>
        <w:t>张莉，杨海燕，史晓华，金茂忠，高仲仪编著 其他作品：https://www.jiaokey.com/tag/张莉，杨海燕，史晓华，金茂忠，高仲仪编著.html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关键词搜索：https://www.jiaokey.com/tag/编译原理及编译程序构造.html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