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高等级公路的设计施工要领</w:t>
      </w:r>
    </w:p>
    <w:p>
      <w:r>
        <w:rPr>
          <w:rFonts w:ascii="宋体" w:hAnsi="宋体" w:eastAsia="宋体"/>
          <w:sz w:val="24"/>
        </w:rPr>
        <w:t>饶德宏，习应祥，周庆桐编译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高等级公路的设计施工要领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饶德宏，习应祥，周庆桐编译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《国外公路》杂志社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本书出售、求购地址：https://www.jiaokey.com/book/detail/12931305.html</w:t>
      </w:r>
    </w:p>
    <w:p>
      <w:r>
        <w:t>更多相关图书推荐：https://www.jiaokey.com</w:t>
      </w:r>
    </w:p>
    <w:p>
      <w:r>
        <w:t>饶德宏，习应祥，周庆桐编译 其他作品：https://www.jiaokey.com/tag/饶德宏，习应祥，周庆桐编译.html</w:t>
      </w:r>
    </w:p>
    <w:p>
      <w:r>
        <w:t>《国外公路》杂志社 出版图书：https://www.jiaokey.com/tag/《国外公路》杂志社.html</w:t>
      </w:r>
    </w:p>
    <w:p>
      <w:r>
        <w:t>关键词搜索：https://www.jiaokey.com/tag/高等级公路的设计施工要领.html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