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商品多样化战略</w:t>
      </w:r>
    </w:p>
    <w:p>
      <w:r>
        <w:rPr>
          <w:rFonts w:ascii="宋体" w:hAnsi="宋体" w:eastAsia="宋体"/>
          <w:sz w:val="24"/>
        </w:rPr>
        <w:t>片冈宽编著；杨树良译；李绍璧审订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商品多样化战略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片冈宽编著；杨树良译；李绍璧审订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本书出售、求购地址：https://www.jiaokey.com/book/detail/12925337.html</w:t>
      </w:r>
    </w:p>
    <w:p>
      <w:r>
        <w:t>更多相关图书推荐：https://www.jiaokey.com</w:t>
      </w:r>
    </w:p>
    <w:p>
      <w:r>
        <w:t>片冈宽编著；杨树良译；李绍璧审订 其他作品：https://www.jiaokey.com/tag/片冈宽编著；杨树良译；李绍璧审订.html</w:t>
      </w:r>
    </w:p>
    <w:p>
      <w:r>
        <w:t>书泉出版社 出版图书：https://www.jiaokey.com/tag/书泉出版社.html</w:t>
      </w:r>
    </w:p>
    <w:p>
      <w:r>
        <w:t>关键词搜索：https://www.jiaokey.com/tag/商品多样化战略.html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