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主控战略波浪理论  股价波动的自然法则及运用</w:t>
      </w:r>
    </w:p>
    <w:p>
      <w:r>
        <w:rPr>
          <w:rFonts w:ascii="宋体" w:hAnsi="宋体" w:eastAsia="宋体"/>
          <w:sz w:val="24"/>
        </w:rPr>
        <w:t>黄韦中著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主控战略波浪理论  股价波动的自然法则及运用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寰宇出版股份有限公司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本书出售、求购地址：https://www.jiaokey.com/book/detail/12922699.html</w:t>
      </w:r>
    </w:p>
    <w:p>
      <w:r>
        <w:t>更多相关图书推荐：https://www.jiaokey.com</w:t>
      </w:r>
    </w:p>
    <w:p>
      <w:r>
        <w:t>黄韦中著 其他作品：https://www.jiaokey.com/tag/黄韦中著.html</w:t>
      </w:r>
    </w:p>
    <w:p>
      <w:r>
        <w:t>寰宇出版股份有限公司 出版图书：https://www.jiaokey.com/tag/寰宇出版股份有限公司.html</w:t>
      </w:r>
    </w:p>
    <w:p>
      <w:r>
        <w:t>关键词搜索：https://www.jiaokey.com/tag/主控战略波浪理论  股价波动的自然法则及运用.html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