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股价波动原理与箱型理论</w:t>
      </w:r>
    </w:p>
    <w:p>
      <w:r>
        <w:rPr>
          <w:rFonts w:ascii="宋体" w:hAnsi="宋体" w:eastAsia="宋体"/>
          <w:sz w:val="24"/>
        </w:rPr>
        <w:t>黄韦中（阿民）著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股价波动原理与箱型理论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黄韦中（阿民）著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本书出售、求购地址：https://www.jiaokey.com/book/detail/12922677.html</w:t>
      </w:r>
    </w:p>
    <w:p>
      <w:r>
        <w:t>更多相关图书推荐：https://www.jiaokey.com</w:t>
      </w:r>
    </w:p>
    <w:p>
      <w:r>
        <w:t>黄韦中（阿民）著 其他作品：https://www.jiaokey.com/tag/黄韦中（阿民）著.html</w:t>
      </w:r>
    </w:p>
    <w:p>
      <w:r>
        <w:t>大益文化事业股份有限公司 出版图书：https://www.jiaokey.com/tag/大益文化事业股份有限公司.html</w:t>
      </w:r>
    </w:p>
    <w:p>
      <w:r>
        <w:t>关键词搜索：https://www.jiaokey.com/tag/股价波动原理与箱型理论.html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