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营销量化指标</w:t>
      </w:r>
    </w:p>
    <w:p>
      <w:r>
        <w:rPr>
          <w:rFonts w:ascii="宋体" w:hAnsi="宋体" w:eastAsia="宋体"/>
          <w:sz w:val="24"/>
        </w:rPr>
        <w:t>（美）保罗·W.法里斯，（美）尼尔·T.本德勒，（美）菲利普·E.普法伊费尔等著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营销量化指标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（美）保罗·W.法里斯，（美）尼尔·T.本德勒，（美）菲利普·E.普法伊费尔等著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本书出售、求购地址：https://www.jiaokey.com/book/detail/12922534.html</w:t>
      </w:r>
    </w:p>
    <w:p>
      <w:r>
        <w:t>更多相关图书推荐：https://www.jiaokey.com</w:t>
      </w:r>
    </w:p>
    <w:p>
      <w:r>
        <w:t>（美）保罗·W.法里斯，（美）尼尔·T.本德勒，（美）菲利普·E.普法伊费尔等著 其他作品：https://www.jiaokey.com/tag/（美）保罗·W.法里斯，（美）尼尔·T.本德勒，（美）菲利普·E.普法伊费尔等著.html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关键词搜索：https://www.jiaokey.com/tag/营销量化指标.html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