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中国金融资产管理公司商业转型 中国经济转型过程中金融企业制度设计探索</w:t>
      </w:r>
    </w:p>
    <w:p>
      <w:r>
        <w:rPr>
          <w:rFonts w:ascii="宋体" w:hAnsi="宋体" w:eastAsia="宋体"/>
          <w:sz w:val="24"/>
        </w:rPr>
        <w:t>杨子健著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中国金融资产管理公司商业转型 中国经济转型过程中金融企业制度设计探索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本书出售、求购地址：https://www.jiaokey.com/book/detail/12917833.html</w:t>
      </w:r>
    </w:p>
    <w:p>
      <w:r>
        <w:t>更多相关图书推荐：https://www.jiaokey.com</w:t>
      </w:r>
    </w:p>
    <w:p>
      <w:r>
        <w:t>杨子健著 其他作品：https://www.jiaokey.com/tag/杨子健著.html</w:t>
      </w:r>
    </w:p>
    <w:p>
      <w:r>
        <w:t>关键词搜索：https://www.jiaokey.com/tag/中国金融资产管理公司商业转型 中国经济转型过程中金融企业制度设计探索.html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