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后危机时代的增长与发展  20国集团发展议程</w:t>
      </w:r>
    </w:p>
    <w:p>
      <w:r>
        <w:rPr>
          <w:rFonts w:ascii="宋体" w:hAnsi="宋体" w:eastAsia="宋体"/>
          <w:sz w:val="24"/>
        </w:rPr>
        <w:t>20国集团发展议程编著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后危机时代的增长与发展  20国集团发展议程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20国集团发展议程编著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本书出售、求购地址：https://www.jiaokey.com/book/detail/12917666.html</w:t>
      </w:r>
    </w:p>
    <w:p>
      <w:r>
        <w:t>更多相关图书推荐：https://www.jiaokey.com</w:t>
      </w:r>
    </w:p>
    <w:p>
      <w:r>
        <w:t>20国集团发展议程编著 其他作品：https://www.jiaokey.com/tag/20国集团发展议程编著.html</w:t>
      </w:r>
    </w:p>
    <w:p>
      <w:r>
        <w:t>关键词搜索：https://www.jiaokey.com/tag/后危机时代的增长与发展  20国集团发展议程.html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