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44个文化部  法国文化政策机制</w:t>
      </w:r>
    </w:p>
    <w:p>
      <w:r>
        <w:rPr>
          <w:rFonts w:ascii="宋体" w:hAnsi="宋体" w:eastAsia="宋体"/>
          <w:sz w:val="24"/>
        </w:rPr>
        <w:t>Pierre Moulinier著；陈羚芝译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44个文化部  法国文化政策机制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Moulinier著；陈羚芝译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五观艺术事业有限公司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本书出售、求购地址：https://www.jiaokey.com/book/detail/12916721.html</w:t>
      </w:r>
    </w:p>
    <w:p>
      <w:r>
        <w:t>更多相关图书推荐：https://www.jiaokey.com</w:t>
      </w:r>
    </w:p>
    <w:p>
      <w:r>
        <w:t>Pierre Moulinier著；陈羚芝译 其他作品：https://www.jiaokey.com/tag/Pierre Moulinier著；陈羚芝译.html</w:t>
      </w:r>
    </w:p>
    <w:p>
      <w:r>
        <w:t>五观艺术事业有限公司 出版图书：https://www.jiaokey.com/tag/五观艺术事业有限公司.html</w:t>
      </w:r>
    </w:p>
    <w:p>
      <w:r>
        <w:t>关键词搜索：https://www.jiaokey.com/tag/44个文化部  法国文化政策机制.html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