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会计信息实用指南  厂长、经理怎样看报表</w:t>
      </w:r>
    </w:p>
    <w:p>
      <w:r>
        <w:rPr>
          <w:rFonts w:ascii="宋体" w:hAnsi="宋体" w:eastAsia="宋体"/>
          <w:sz w:val="24"/>
        </w:rPr>
        <w:t>陈桂祥主审，吴金莲，冯巧根主编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会计信息实用指南  厂长、经理怎样看报表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陈桂祥主审，吴金莲，冯巧根主编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本书出售、求购地址：https://www.jiaokey.com/book/detail/12914258.html</w:t>
      </w:r>
    </w:p>
    <w:p>
      <w:r>
        <w:t>更多相关图书推荐：https://www.jiaokey.com</w:t>
      </w:r>
    </w:p>
    <w:p>
      <w:r>
        <w:t>陈桂祥主审，吴金莲，冯巧根主编 其他作品：https://www.jiaokey.com/tag/陈桂祥主审，吴金莲，冯巧根主编.html</w:t>
      </w:r>
    </w:p>
    <w:p>
      <w:r>
        <w:t>当代中国出版社 出版图书：https://www.jiaokey.com/tag/当代中国出版社.html</w:t>
      </w:r>
    </w:p>
    <w:p>
      <w:r>
        <w:t>关键词搜索：https://www.jiaokey.com/tag/会计信息实用指南  厂长、经理怎样看报表.html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