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沉默之子 论当代小说 On Contemporary Fiction</w:t>
      </w:r>
    </w:p>
    <w:p>
      <w:r>
        <w:rPr>
          <w:rFonts w:ascii="宋体" w:hAnsi="宋体" w:eastAsia="宋体"/>
          <w:sz w:val="24"/>
        </w:rPr>
        <w:t>麦可x000B7伍德著；Michael Wood 严韵译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沉默之子 论当代小说 On Contemporary Fiction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麦可x000B7伍德著；Michael Wood 严韵译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麦田出版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本书出售、求购地址：https://www.jiaokey.com/book/detail/12913790.html</w:t>
      </w:r>
    </w:p>
    <w:p>
      <w:r>
        <w:t>更多相关图书推荐：https://www.jiaokey.com</w:t>
      </w:r>
    </w:p>
    <w:p>
      <w:r>
        <w:t>麦可x000B7伍德著；Michael Wood 严韵译 其他作品：https://www.jiaokey.com/tag/麦可x000B7伍德著；Michael Wood 严韵译.html</w:t>
      </w:r>
    </w:p>
    <w:p>
      <w:r>
        <w:t>麦田出版 出版图书：https://www.jiaokey.com/tag/麦田出版.html</w:t>
      </w:r>
    </w:p>
    <w:p>
      <w:r>
        <w:t>关键词搜索：https://www.jiaokey.com/tag/沉默之子 论当代小说 On Contemporary Fiction.html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