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颜习斋和杜威哲学及教育思想的比较研究</w:t>
      </w:r>
    </w:p>
    <w:p>
      <w:r>
        <w:rPr>
          <w:rFonts w:ascii="宋体" w:hAnsi="宋体" w:eastAsia="宋体"/>
          <w:sz w:val="24"/>
        </w:rPr>
        <w:t>郑世偿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颜习斋和杜威哲学及教育思想的比较研究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本书出售、求购地址：https://www.jiaokey.com/book/detail/12912790.html</w:t>
      </w:r>
    </w:p>
    <w:p>
      <w:r>
        <w:t>更多相关图书推荐：https://www.jiaokey.com</w:t>
      </w:r>
    </w:p>
    <w:p>
      <w:r>
        <w:t>郑世偿 其他作品：https://www.jiaokey.com/tag/郑世偿.html</w:t>
      </w:r>
    </w:p>
    <w:p>
      <w:r>
        <w:t>中央文物供应社 出版图书：https://www.jiaokey.com/tag/中央文物供应社.html</w:t>
      </w:r>
    </w:p>
    <w:p>
      <w:r>
        <w:t>关键词搜索：https://www.jiaokey.com/tag/颜习斋和杜威哲学及教育思想的比较研究.html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