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北方土壤钾素肥力及其管理</w:t>
      </w:r>
    </w:p>
    <w:p>
      <w:r>
        <w:rPr>
          <w:rFonts w:ascii="宋体" w:hAnsi="宋体" w:eastAsia="宋体"/>
          <w:sz w:val="24"/>
        </w:rPr>
        <w:t>谢建昌，马茂桐，杜承林等编译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北方土壤钾素肥力及其管理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谢建昌，马茂桐，杜承林等编译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本书出售、求购地址：https://www.jiaokey.com/book/detail/12909448.html</w:t>
      </w:r>
    </w:p>
    <w:p>
      <w:r>
        <w:t>更多相关图书推荐：https://www.jiaokey.com</w:t>
      </w:r>
    </w:p>
    <w:p>
      <w:r>
        <w:t>谢建昌，马茂桐，杜承林等编译 其他作品：https://www.jiaokey.com/tag/谢建昌，马茂桐，杜承林等编译.html</w:t>
      </w:r>
    </w:p>
    <w:p>
      <w:r>
        <w:t>中国农业科技出版社 出版图书：https://www.jiaokey.com/tag/中国农业科技出版社.html</w:t>
      </w:r>
    </w:p>
    <w:p>
      <w:r>
        <w:t>关键词搜索：https://www.jiaokey.com/tag/北方土壤钾素肥力及其管理.html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