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凤凰涅盘：金融风暴与亚洲新格局</w:t>
      </w:r>
    </w:p>
    <w:p>
      <w:r>
        <w:rPr>
          <w:rFonts w:ascii="宋体" w:hAnsi="宋体" w:eastAsia="宋体"/>
          <w:sz w:val="24"/>
        </w:rPr>
        <w:t>（日）蔡林海著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凤凰涅盘：金融风暴与亚洲新格局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（日）蔡林海著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本书出售、求购地址：https://www.jiaokey.com/book/detail/12908892.html</w:t>
      </w:r>
    </w:p>
    <w:p>
      <w:r>
        <w:t>更多相关图书推荐：https://www.jiaokey.com</w:t>
      </w:r>
    </w:p>
    <w:p>
      <w:r>
        <w:t>（日）蔡林海著 其他作品：https://www.jiaokey.com/tag/（日）蔡林海著.html</w:t>
      </w:r>
    </w:p>
    <w:p>
      <w:r>
        <w:t>明报出版社 出版图书：https://www.jiaokey.com/tag/明报出版社.html</w:t>
      </w:r>
    </w:p>
    <w:p>
      <w:r>
        <w:t>关键词搜索：https://www.jiaokey.com/tag/凤凰涅盘：金融风暴与亚洲新格局.html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