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我国新闻政策  三民主义新闻制度之蓝图</w:t>
      </w:r>
    </w:p>
    <w:p>
      <w:r>
        <w:rPr>
          <w:rFonts w:ascii="宋体" w:hAnsi="宋体" w:eastAsia="宋体"/>
          <w:sz w:val="24"/>
        </w:rPr>
        <w:t>李瞻著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我国新闻政策  三民主义新闻制度之蓝图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本书出售、求购地址：https://www.jiaokey.com/book/detail/12908796.html</w:t>
      </w:r>
    </w:p>
    <w:p>
      <w:r>
        <w:t>更多相关图书推荐：https://www.jiaokey.com</w:t>
      </w:r>
    </w:p>
    <w:p>
      <w:r>
        <w:t>李瞻著 其他作品：https://www.jiaokey.com/tag/李瞻著.html</w:t>
      </w:r>
    </w:p>
    <w:p>
      <w:r>
        <w:t>新闻记者公会 出版图书：https://www.jiaokey.com/tag/新闻记者公会.html</w:t>
      </w:r>
    </w:p>
    <w:p>
      <w:r>
        <w:t>关键词搜索：https://www.jiaokey.com/tag/我国新闻政策  三民主义新闻制度之蓝图.html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