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生活课程设计单元实施法  上</w:t>
      </w:r>
    </w:p>
    <w:p>
      <w:r>
        <w:rPr>
          <w:rFonts w:ascii="宋体" w:hAnsi="宋体" w:eastAsia="宋体"/>
          <w:sz w:val="24"/>
        </w:rPr>
        <w:t>彭清秀，辛媛英，涂日赓编辑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生活课程设计单元实施法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彭清秀，辛媛英，涂日赓编辑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本书出售、求购地址：https://www.jiaokey.com/book/detail/12906953.html</w:t>
      </w:r>
    </w:p>
    <w:p>
      <w:r>
        <w:t>更多相关图书推荐：https://www.jiaokey.com</w:t>
      </w:r>
    </w:p>
    <w:p>
      <w:r>
        <w:t>彭清秀，辛媛英，涂日赓编辑 其他作品：https://www.jiaokey.com/tag/彭清秀，辛媛英，涂日赓编辑.html</w:t>
      </w:r>
    </w:p>
    <w:p>
      <w:r>
        <w:t>新潮出版社 出版图书：https://www.jiaokey.com/tag/新潮出版社.html</w:t>
      </w:r>
    </w:p>
    <w:p>
      <w:r>
        <w:t>关键词搜索：https://www.jiaokey.com/tag/生活课程设计单元实施法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