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跨国公司国际投资法</w:t>
      </w:r>
    </w:p>
    <w:p>
      <w:r>
        <w:rPr>
          <w:rFonts w:ascii="宋体" w:hAnsi="宋体" w:eastAsia="宋体"/>
          <w:sz w:val="24"/>
        </w:rPr>
        <w:t>范剑虹，著田青主编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跨国公司国际投资法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范剑虹，著田青主编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本书出售、求购地址：https://www.jiaokey.com/book/detail/12904238.html</w:t>
      </w:r>
    </w:p>
    <w:p>
      <w:r>
        <w:t>更多相关图书推荐：https://www.jiaokey.com</w:t>
      </w:r>
    </w:p>
    <w:p>
      <w:r>
        <w:t>范剑虹，著田青主编 其他作品：https://www.jiaokey.com/tag/范剑虹，著田青主编.html</w:t>
      </w:r>
    </w:p>
    <w:p>
      <w:r>
        <w:t>澳门大学法学院 出版图书：https://www.jiaokey.com/tag/澳门大学法学院.html</w:t>
      </w:r>
    </w:p>
    <w:p>
      <w:r>
        <w:t>关键词搜索：https://www.jiaokey.com/tag/跨国公司国际投资法.html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