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 行政职业能力测验·申论（下） 2008最新版</w:t>
      </w:r>
    </w:p>
    <w:p>
      <w:r>
        <w:rPr>
          <w:rFonts w:ascii="宋体" w:hAnsi="宋体" w:eastAsia="宋体"/>
          <w:sz w:val="24"/>
        </w:rPr>
        <w:t>李永新等编著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 行政职业能力测验·申论（下）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本书出售、求购地址：https://www.jiaokey.com/book/detail/12898013.html</w:t>
      </w:r>
    </w:p>
    <w:p>
      <w:r>
        <w:t>更多相关图书推荐：https://www.jiaokey.com</w:t>
      </w:r>
    </w:p>
    <w:p>
      <w:r>
        <w:t>李永新等编著 其他作品：https://www.jiaokey.com/tag/李永新等编著.html</w:t>
      </w:r>
    </w:p>
    <w:p>
      <w:r>
        <w:t>人民日报出版社 出版图书：https://www.jiaokey.com/tag/人民日报出版社.html</w:t>
      </w:r>
    </w:p>
    <w:p>
      <w:r>
        <w:t>关键词搜索：https://www.jiaokey.com/tag/历年真题精解 行政职业能力测验·申论（下）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