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五年制师范专科学校  普通  音乐  美劳  体育等四科课程标准暨科教学科设备标准</w:t>
      </w:r>
    </w:p>
    <w:p>
      <w:r>
        <w:rPr>
          <w:rFonts w:ascii="宋体" w:hAnsi="宋体" w:eastAsia="宋体"/>
          <w:sz w:val="24"/>
        </w:rPr>
        <w:t>教育部技术及职业教育司编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五年制师范专科学校  普通  音乐  美劳  体育等四科课程标准暨科教学科设备标准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教育部技术及职业教育司编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本书出售、求购地址：https://www.jiaokey.com/book/detail/12895235.html</w:t>
      </w:r>
    </w:p>
    <w:p>
      <w:r>
        <w:t>更多相关图书推荐：https://www.jiaokey.com</w:t>
      </w:r>
    </w:p>
    <w:p>
      <w:r>
        <w:t>教育部技术及职业教育司编 其他作品：https://www.jiaokey.com/tag/教育部技术及职业教育司编.html</w:t>
      </w:r>
    </w:p>
    <w:p>
      <w:r>
        <w:t>正中书局 出版图书：https://www.jiaokey.com/tag/正中书局.html</w:t>
      </w:r>
    </w:p>
    <w:p>
      <w:r>
        <w:t>关键词搜索：https://www.jiaokey.com/tag/五年制师范专科学校  普通  音乐  美劳  体育等四科课程标准暨科教学科设备标准.html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