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如何开展商场交涉——商场交涉技术</w:t>
      </w:r>
    </w:p>
    <w:p>
      <w:r>
        <w:rPr>
          <w:rFonts w:ascii="宋体" w:hAnsi="宋体" w:eastAsia="宋体"/>
          <w:sz w:val="24"/>
        </w:rPr>
        <w:t>精英，财鑫主编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如何开展商场交涉——商场交涉技术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精英，财鑫主编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本书出售、求购地址：https://www.jiaokey.com/book/detail/12893347.html</w:t>
      </w:r>
    </w:p>
    <w:p>
      <w:r>
        <w:t>更多相关图书推荐：https://www.jiaokey.com</w:t>
      </w:r>
    </w:p>
    <w:p>
      <w:r>
        <w:t>精英，财鑫主编 其他作品：https://www.jiaokey.com/tag/精英，财鑫主编.html</w:t>
      </w:r>
    </w:p>
    <w:p>
      <w:r>
        <w:t>鹭江出版社 出版图书：https://www.jiaokey.com/tag/鹭江出版社.html</w:t>
      </w:r>
    </w:p>
    <w:p>
      <w:r>
        <w:t>关键词搜索：https://www.jiaokey.com/tag/如何开展商场交涉——商场交涉技术.html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