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形式逻辑百题解</w:t>
      </w:r>
    </w:p>
    <w:p>
      <w:r>
        <w:rPr>
          <w:rFonts w:ascii="宋体" w:hAnsi="宋体" w:eastAsia="宋体"/>
          <w:sz w:val="24"/>
        </w:rPr>
        <w:t>李仲师编著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吉林商专马列主义教研部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本书出售、求购地址：https://www.jiaokey.com/book/detail/12893127.html</w:t>
      </w:r>
    </w:p>
    <w:p>
      <w:r>
        <w:t>更多相关图书推荐：https://www.jiaokey.com</w:t>
      </w:r>
    </w:p>
    <w:p>
      <w:r>
        <w:t>李仲师编著 其他作品：https://www.jiaokey.com/tag/李仲师编著.html</w:t>
      </w:r>
    </w:p>
    <w:p>
      <w:r>
        <w:t>吉林商专马列主义教研部 出版图书：https://www.jiaokey.com/tag/吉林商专马列主义教研部.html</w:t>
      </w:r>
    </w:p>
    <w:p>
      <w:r>
        <w:t>关键词搜索：https://www.jiaokey.com/tag/形式逻辑百题解.html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