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资赋优异儿童与创造能力的教学</w:t>
      </w:r>
    </w:p>
    <w:p>
      <w:r>
        <w:rPr>
          <w:rFonts w:ascii="宋体" w:hAnsi="宋体" w:eastAsia="宋体"/>
          <w:sz w:val="24"/>
        </w:rPr>
        <w:t>黄瑞焕，洪碧霞著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资赋优异儿童与创造能力的教学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黄瑞焕，洪碧霞著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本书出售、求购地址：https://www.jiaokey.com/book/detail/12891930.html</w:t>
      </w:r>
    </w:p>
    <w:p>
      <w:r>
        <w:t>更多相关图书推荐：https://www.jiaokey.com</w:t>
      </w:r>
    </w:p>
    <w:p>
      <w:r>
        <w:t>黄瑞焕，洪碧霞著 其他作品：https://www.jiaokey.com/tag/黄瑞焕，洪碧霞著.html</w:t>
      </w:r>
    </w:p>
    <w:p>
      <w:r>
        <w:t>复文图书出版社 出版图书：https://www.jiaokey.com/tag/复文图书出版社.html</w:t>
      </w:r>
    </w:p>
    <w:p>
      <w:r>
        <w:t>关键词搜索：https://www.jiaokey.com/tag/资赋优异儿童与创造能力的教学.html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