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赤水丹霞地貌生态过程与生物多样性</w:t>
      </w:r>
    </w:p>
    <w:p>
      <w:r>
        <w:rPr>
          <w:rFonts w:ascii="宋体" w:hAnsi="宋体" w:eastAsia="宋体"/>
          <w:sz w:val="24"/>
        </w:rPr>
        <w:t>熊康宁主编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赤水丹霞地貌生态过程与生物多样性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本书出售、求购地址：https://www.jiaokey.com/book/detail/12890414.html</w:t>
      </w:r>
    </w:p>
    <w:p>
      <w:r>
        <w:t>更多相关图书推荐：https://www.jiaokey.com</w:t>
      </w:r>
    </w:p>
    <w:p>
      <w:r>
        <w:t>熊康宁主编 其他作品：https://www.jiaokey.com/tag/熊康宁主编.html</w:t>
      </w:r>
    </w:p>
    <w:p>
      <w:r>
        <w:t>贵阳：贵州科学技术出版社 出版图书：https://www.jiaokey.com/tag/贵阳：贵州科学技术出版社.html</w:t>
      </w:r>
    </w:p>
    <w:p>
      <w:r>
        <w:t>关键词搜索：https://www.jiaokey.com/tag/赤水丹霞地貌生态过程与生物多样性.html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