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铁禅杖破疯魔棍  下</w:t>
      </w:r>
    </w:p>
    <w:p>
      <w:r>
        <w:rPr>
          <w:rFonts w:ascii="宋体" w:hAnsi="宋体" w:eastAsia="宋体"/>
          <w:sz w:val="24"/>
        </w:rPr>
        <w:t>释法无编文；孙昌茵，冯玉微，孙亦子绘画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铁禅杖破疯魔棍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释法无编文；孙昌茵，冯玉微，孙亦子绘画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本书出售、求购地址：https://www.jiaokey.com/book/detail/12889585.html</w:t>
      </w:r>
    </w:p>
    <w:p>
      <w:r>
        <w:t>更多相关图书推荐：https://www.jiaokey.com</w:t>
      </w:r>
    </w:p>
    <w:p>
      <w:r>
        <w:t>释法无编文；孙昌茵，冯玉微，孙亦子绘画 其他作品：https://www.jiaokey.com/tag/释法无编文；孙昌茵，冯玉微，孙亦子绘画.html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关键词搜索：https://www.jiaokey.com/tag/铁禅杖破疯魔棍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