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</w:t>
      </w:r>
    </w:p>
    <w:p>
      <w:r>
        <w:rPr>
          <w:rFonts w:ascii="宋体" w:hAnsi="宋体" w:eastAsia="宋体"/>
          <w:sz w:val="24"/>
        </w:rPr>
        <w:t>（法国）玛·阿希·季浩原著；余鹤仙改编；张景源，熊南清绘画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（法国）玛·阿希·季浩原著；余鹤仙改编；张景源，熊南清绘画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本书出售、求购地址：https://www.jiaokey.com/book/detail/12889540.html</w:t>
      </w:r>
    </w:p>
    <w:p>
      <w:r>
        <w:t>更多相关图书推荐：https://www.jiaokey.com</w:t>
      </w:r>
    </w:p>
    <w:p>
      <w:r>
        <w:t>（法国）玛·阿希·季浩原著；余鹤仙改编；张景源，熊南清绘画 其他作品：https://www.jiaokey.com/tag/（法国）玛·阿希·季浩原著；余鹤仙改编；张景源，熊南清绘画.html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关键词搜索：https://www.jiaokey.com/tag/狐狸列那.html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